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88" w:rsidRPr="00142688" w:rsidRDefault="00142688" w:rsidP="00142688">
      <w:pPr>
        <w:jc w:val="center"/>
        <w:rPr>
          <w:b/>
          <w:sz w:val="32"/>
          <w:szCs w:val="32"/>
        </w:rPr>
      </w:pPr>
      <w:r w:rsidRPr="00142688">
        <w:rPr>
          <w:b/>
          <w:sz w:val="32"/>
          <w:szCs w:val="32"/>
        </w:rPr>
        <w:t xml:space="preserve">             REPUBLIQUE ISLAMIQUE DE MAURITANIE</w:t>
      </w:r>
    </w:p>
    <w:p w:rsidR="00142688" w:rsidRPr="00142688" w:rsidRDefault="00142688" w:rsidP="00142688">
      <w:pPr>
        <w:jc w:val="center"/>
        <w:rPr>
          <w:b/>
          <w:sz w:val="32"/>
          <w:szCs w:val="32"/>
        </w:rPr>
      </w:pPr>
    </w:p>
    <w:p w:rsidR="00142688" w:rsidRPr="00142688" w:rsidRDefault="00142688" w:rsidP="00142688">
      <w:pPr>
        <w:jc w:val="center"/>
        <w:rPr>
          <w:b/>
          <w:sz w:val="32"/>
          <w:szCs w:val="32"/>
        </w:rPr>
      </w:pPr>
      <w:r w:rsidRPr="00142688">
        <w:rPr>
          <w:b/>
          <w:sz w:val="32"/>
          <w:szCs w:val="32"/>
        </w:rPr>
        <w:t xml:space="preserve">            MINISTERE  DE L’ECONOMIE  ET DES FINANCES</w:t>
      </w:r>
    </w:p>
    <w:p w:rsidR="002D535D" w:rsidRPr="00242896" w:rsidRDefault="00142688" w:rsidP="00242896">
      <w:pPr>
        <w:jc w:val="both"/>
        <w:rPr>
          <w:b/>
          <w:i/>
          <w:spacing w:val="-2"/>
        </w:rPr>
      </w:pPr>
      <w:r>
        <w:rPr>
          <w:b/>
          <w:i/>
          <w:spacing w:val="-2"/>
        </w:rPr>
        <w:t xml:space="preserve">                                                              Direction Générale de</w:t>
      </w:r>
      <w:r w:rsidR="004B214A">
        <w:rPr>
          <w:b/>
          <w:i/>
          <w:spacing w:val="-2"/>
        </w:rPr>
        <w:t>s</w:t>
      </w:r>
      <w:r>
        <w:rPr>
          <w:b/>
          <w:i/>
          <w:spacing w:val="-2"/>
        </w:rPr>
        <w:t xml:space="preserve"> Politique</w:t>
      </w:r>
      <w:r w:rsidR="004B214A">
        <w:rPr>
          <w:b/>
          <w:i/>
          <w:spacing w:val="-2"/>
        </w:rPr>
        <w:t>s</w:t>
      </w:r>
      <w:r>
        <w:rPr>
          <w:b/>
          <w:i/>
          <w:spacing w:val="-2"/>
        </w:rPr>
        <w:t xml:space="preserve"> et Stratégies du Développement</w:t>
      </w:r>
    </w:p>
    <w:p w:rsidR="002D535D" w:rsidRDefault="002D535D" w:rsidP="00F91C05">
      <w:pPr>
        <w:jc w:val="center"/>
        <w:rPr>
          <w:b/>
        </w:rPr>
      </w:pPr>
    </w:p>
    <w:p w:rsidR="00F91C05" w:rsidRPr="00057BF1" w:rsidRDefault="00F91C05" w:rsidP="00F91C05">
      <w:pPr>
        <w:jc w:val="center"/>
        <w:rPr>
          <w:b/>
          <w:highlight w:val="lightGray"/>
          <w:u w:val="single"/>
        </w:rPr>
      </w:pPr>
      <w:r w:rsidRPr="00057BF1">
        <w:rPr>
          <w:b/>
          <w:highlight w:val="lightGray"/>
          <w:u w:val="single"/>
        </w:rPr>
        <w:t>PLAN PREVISIONNEL DE PASSATION DES MARCHES</w:t>
      </w:r>
      <w:r w:rsidR="00852B39">
        <w:rPr>
          <w:b/>
          <w:highlight w:val="lightGray"/>
          <w:u w:val="single"/>
        </w:rPr>
        <w:t xml:space="preserve"> ACTUALISE</w:t>
      </w:r>
      <w:r w:rsidR="007E3012">
        <w:rPr>
          <w:b/>
          <w:highlight w:val="lightGray"/>
          <w:u w:val="single"/>
        </w:rPr>
        <w:t xml:space="preserve"> (Octobre)</w:t>
      </w:r>
    </w:p>
    <w:p w:rsidR="00242896" w:rsidRPr="00793A72" w:rsidRDefault="00852B39" w:rsidP="00793A72">
      <w:pPr>
        <w:jc w:val="center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 xml:space="preserve">POUR </w:t>
      </w:r>
      <w:r w:rsidR="00793A72">
        <w:rPr>
          <w:b/>
          <w:highlight w:val="lightGray"/>
          <w:u w:val="single"/>
        </w:rPr>
        <w:t xml:space="preserve">L’ANNEE </w:t>
      </w:r>
      <w:r w:rsidRPr="00790EA0">
        <w:rPr>
          <w:b/>
          <w:highlight w:val="lightGray"/>
          <w:u w:val="single"/>
        </w:rPr>
        <w:t>2</w:t>
      </w:r>
      <w:r w:rsidR="00142688" w:rsidRPr="00790EA0">
        <w:rPr>
          <w:b/>
          <w:highlight w:val="lightGray"/>
          <w:u w:val="single"/>
        </w:rPr>
        <w:t>01</w:t>
      </w:r>
      <w:r w:rsidR="0018567C" w:rsidRPr="00790EA0">
        <w:rPr>
          <w:b/>
          <w:highlight w:val="lightGray"/>
          <w:u w:val="single"/>
        </w:rPr>
        <w:t>7</w:t>
      </w:r>
    </w:p>
    <w:tbl>
      <w:tblPr>
        <w:tblpPr w:leftFromText="141" w:rightFromText="141" w:vertAnchor="text" w:tblpY="200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1443"/>
        <w:gridCol w:w="1759"/>
        <w:gridCol w:w="1301"/>
        <w:gridCol w:w="205"/>
        <w:gridCol w:w="1144"/>
        <w:gridCol w:w="91"/>
        <w:gridCol w:w="1620"/>
        <w:gridCol w:w="18"/>
        <w:gridCol w:w="1602"/>
        <w:gridCol w:w="14"/>
        <w:gridCol w:w="1606"/>
        <w:gridCol w:w="90"/>
        <w:gridCol w:w="2178"/>
      </w:tblGrid>
      <w:tr w:rsidR="00103E02" w:rsidTr="00103E02">
        <w:trPr>
          <w:tblHeader/>
        </w:trPr>
        <w:tc>
          <w:tcPr>
            <w:tcW w:w="645" w:type="dxa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 xml:space="preserve">Réf. </w:t>
            </w:r>
          </w:p>
        </w:tc>
        <w:tc>
          <w:tcPr>
            <w:tcW w:w="1443" w:type="dxa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</w:p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Réalisations envisagées</w:t>
            </w:r>
          </w:p>
        </w:tc>
        <w:tc>
          <w:tcPr>
            <w:tcW w:w="1759" w:type="dxa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</w:p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Source de financement</w:t>
            </w:r>
          </w:p>
        </w:tc>
        <w:tc>
          <w:tcPr>
            <w:tcW w:w="1301" w:type="dxa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</w:p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Type de marché</w:t>
            </w:r>
            <w:r w:rsidRPr="007F115A">
              <w:rPr>
                <w:rStyle w:val="Appelnotedebasdep"/>
                <w:b/>
                <w:sz w:val="22"/>
                <w:szCs w:val="22"/>
              </w:rPr>
              <w:footnoteReference w:id="2"/>
            </w:r>
          </w:p>
        </w:tc>
        <w:tc>
          <w:tcPr>
            <w:tcW w:w="1440" w:type="dxa"/>
            <w:gridSpan w:val="3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</w:p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Mode de passation</w:t>
            </w:r>
          </w:p>
        </w:tc>
        <w:tc>
          <w:tcPr>
            <w:tcW w:w="1620" w:type="dxa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Date prévue de lancement de la procédure de sélection</w:t>
            </w:r>
          </w:p>
        </w:tc>
        <w:tc>
          <w:tcPr>
            <w:tcW w:w="1620" w:type="dxa"/>
            <w:gridSpan w:val="2"/>
            <w:vAlign w:val="center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Date prévue d’attribution du contrat</w:t>
            </w:r>
          </w:p>
        </w:tc>
        <w:tc>
          <w:tcPr>
            <w:tcW w:w="1620" w:type="dxa"/>
            <w:gridSpan w:val="2"/>
            <w:vAlign w:val="center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Date prévue de démarrage des prestations</w:t>
            </w:r>
          </w:p>
        </w:tc>
        <w:tc>
          <w:tcPr>
            <w:tcW w:w="2268" w:type="dxa"/>
            <w:gridSpan w:val="2"/>
            <w:vAlign w:val="center"/>
          </w:tcPr>
          <w:p w:rsidR="00103E02" w:rsidRPr="007F115A" w:rsidRDefault="00103E02" w:rsidP="007F115A">
            <w:pPr>
              <w:jc w:val="center"/>
              <w:rPr>
                <w:b/>
                <w:sz w:val="22"/>
                <w:szCs w:val="22"/>
              </w:rPr>
            </w:pPr>
            <w:r w:rsidRPr="007F115A">
              <w:rPr>
                <w:b/>
                <w:sz w:val="22"/>
                <w:szCs w:val="22"/>
              </w:rPr>
              <w:t>Date prévue d’achèvemen</w:t>
            </w:r>
            <w:bookmarkStart w:id="0" w:name="_GoBack"/>
            <w:bookmarkEnd w:id="0"/>
            <w:r w:rsidRPr="007F115A">
              <w:rPr>
                <w:b/>
                <w:sz w:val="22"/>
                <w:szCs w:val="22"/>
              </w:rPr>
              <w:t>t des prestations</w:t>
            </w:r>
          </w:p>
        </w:tc>
      </w:tr>
      <w:tr w:rsidR="00103E02" w:rsidTr="00103E02">
        <w:trPr>
          <w:trHeight w:val="563"/>
        </w:trPr>
        <w:tc>
          <w:tcPr>
            <w:tcW w:w="13716" w:type="dxa"/>
            <w:gridSpan w:val="14"/>
          </w:tcPr>
          <w:p w:rsidR="00103E02" w:rsidRPr="007F115A" w:rsidRDefault="00103E02" w:rsidP="007F115A">
            <w:pPr>
              <w:jc w:val="both"/>
              <w:rPr>
                <w:b/>
                <w:spacing w:val="-2"/>
              </w:rPr>
            </w:pPr>
            <w:r w:rsidRPr="007F115A">
              <w:rPr>
                <w:b/>
                <w:spacing w:val="-2"/>
              </w:rPr>
              <w:t xml:space="preserve">                                                    Projet Autonomisation des Femmes et Dividende Démographique au Sahel (SWEDD)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  <w:p w:rsidR="00103E02" w:rsidRPr="005B7BC8" w:rsidRDefault="00103E02" w:rsidP="007F115A">
            <w:pPr>
              <w:autoSpaceDE w:val="0"/>
              <w:autoSpaceDN w:val="0"/>
              <w:adjustRightInd w:val="0"/>
              <w:rPr>
                <w:color w:val="92D050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3E02" w:rsidRPr="00D91319" w:rsidRDefault="00103E02" w:rsidP="00852B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C5A77">
              <w:rPr>
                <w:bCs/>
                <w:color w:val="000000"/>
                <w:sz w:val="18"/>
                <w:szCs w:val="18"/>
              </w:rPr>
              <w:t>Assistance technique au MASEF (centre de promotion féminine) pour la formation qualifiante des femmes : Cartographie des centres de formation, formation de 2000 femmes, cursus de formation à l’auto-emploi, bourses aux filles lauréates</w:t>
            </w:r>
          </w:p>
        </w:tc>
        <w:tc>
          <w:tcPr>
            <w:tcW w:w="1759" w:type="dxa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Prestations intellectuelles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ED</w:t>
            </w:r>
          </w:p>
        </w:tc>
        <w:tc>
          <w:tcPr>
            <w:tcW w:w="1729" w:type="dxa"/>
            <w:gridSpan w:val="3"/>
          </w:tcPr>
          <w:p w:rsidR="00103E02" w:rsidRPr="007F115A" w:rsidRDefault="00103E02" w:rsidP="00E759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26/12/2017</w:t>
            </w:r>
          </w:p>
        </w:tc>
        <w:tc>
          <w:tcPr>
            <w:tcW w:w="1616" w:type="dxa"/>
            <w:gridSpan w:val="2"/>
          </w:tcPr>
          <w:p w:rsidR="00103E02" w:rsidRPr="007F115A" w:rsidRDefault="00103E02" w:rsidP="00E759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31/01/2018</w:t>
            </w:r>
          </w:p>
        </w:tc>
        <w:tc>
          <w:tcPr>
            <w:tcW w:w="1696" w:type="dxa"/>
            <w:gridSpan w:val="2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15/02/2018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31/12/2018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03E02" w:rsidRPr="00F16FCA" w:rsidRDefault="00103E02" w:rsidP="007F115A">
            <w:pPr>
              <w:autoSpaceDE w:val="0"/>
              <w:autoSpaceDN w:val="0"/>
              <w:adjustRightInd w:val="0"/>
              <w:rPr>
                <w:color w:val="92D050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3E02" w:rsidRPr="00E073A9" w:rsidRDefault="00103E02" w:rsidP="00852B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1319">
              <w:rPr>
                <w:sz w:val="18"/>
                <w:szCs w:val="18"/>
              </w:rPr>
              <w:t>Equipements et mobilier des cybers café des établissements secondaires (8 sites pilotes)</w:t>
            </w:r>
          </w:p>
        </w:tc>
        <w:tc>
          <w:tcPr>
            <w:tcW w:w="1759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AON</w:t>
            </w:r>
          </w:p>
        </w:tc>
        <w:tc>
          <w:tcPr>
            <w:tcW w:w="1729" w:type="dxa"/>
            <w:gridSpan w:val="3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10/06/2017</w:t>
            </w:r>
          </w:p>
        </w:tc>
        <w:tc>
          <w:tcPr>
            <w:tcW w:w="1616" w:type="dxa"/>
            <w:gridSpan w:val="2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15/08/2017</w:t>
            </w:r>
          </w:p>
        </w:tc>
        <w:tc>
          <w:tcPr>
            <w:tcW w:w="1696" w:type="dxa"/>
            <w:gridSpan w:val="2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14/09/2017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20/09/2017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03</w:t>
            </w:r>
          </w:p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103E02" w:rsidRDefault="00103E02" w:rsidP="007F115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3E02" w:rsidRPr="00D91319" w:rsidRDefault="00103E02" w:rsidP="00852B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1319">
              <w:rPr>
                <w:sz w:val="18"/>
                <w:szCs w:val="18"/>
              </w:rPr>
              <w:t>Impression des brochures pédagogiques pour cours de rattrapage (18000 brochures)</w:t>
            </w:r>
          </w:p>
        </w:tc>
        <w:tc>
          <w:tcPr>
            <w:tcW w:w="1759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ED</w:t>
            </w:r>
          </w:p>
        </w:tc>
        <w:tc>
          <w:tcPr>
            <w:tcW w:w="1729" w:type="dxa"/>
            <w:gridSpan w:val="3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19/07/2017</w:t>
            </w:r>
          </w:p>
        </w:tc>
        <w:tc>
          <w:tcPr>
            <w:tcW w:w="1616" w:type="dxa"/>
            <w:gridSpan w:val="2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30/08/2017</w:t>
            </w:r>
          </w:p>
        </w:tc>
        <w:tc>
          <w:tcPr>
            <w:tcW w:w="1696" w:type="dxa"/>
            <w:gridSpan w:val="2"/>
          </w:tcPr>
          <w:p w:rsidR="00103E02" w:rsidRPr="007F115A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30/09/2017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15/10/2017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573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3" w:type="dxa"/>
            <w:vAlign w:val="center"/>
          </w:tcPr>
          <w:p w:rsidR="00103E02" w:rsidRDefault="00103E02" w:rsidP="00EC4D06">
            <w:pPr>
              <w:rPr>
                <w:sz w:val="18"/>
                <w:szCs w:val="18"/>
              </w:rPr>
            </w:pPr>
            <w:r w:rsidRPr="00686B3E">
              <w:rPr>
                <w:sz w:val="18"/>
                <w:szCs w:val="18"/>
              </w:rPr>
              <w:t xml:space="preserve">Réaliser une étude des besoins en main d’œuvre qualifiée du marché du travail de la santé en Mauritanie et proposer un plan d’action visant à maximiser la contribution des 5 écoles à la satisfaction des besoins de ce </w:t>
            </w:r>
            <w:proofErr w:type="gramStart"/>
            <w:r w:rsidRPr="00686B3E">
              <w:rPr>
                <w:sz w:val="18"/>
                <w:szCs w:val="18"/>
              </w:rPr>
              <w:t>marché</w:t>
            </w:r>
            <w:r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759" w:type="dxa"/>
          </w:tcPr>
          <w:p w:rsidR="00103E02" w:rsidRPr="00A80D16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Prestations Intellectuelles</w:t>
            </w:r>
          </w:p>
        </w:tc>
        <w:tc>
          <w:tcPr>
            <w:tcW w:w="1144" w:type="dxa"/>
          </w:tcPr>
          <w:p w:rsidR="00103E02" w:rsidRPr="00A80D16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 w:rsidRPr="00AC469E">
              <w:rPr>
                <w:bCs/>
                <w:sz w:val="22"/>
                <w:szCs w:val="22"/>
              </w:rPr>
              <w:t>SFQC</w:t>
            </w:r>
          </w:p>
        </w:tc>
        <w:tc>
          <w:tcPr>
            <w:tcW w:w="1729" w:type="dxa"/>
            <w:gridSpan w:val="3"/>
          </w:tcPr>
          <w:p w:rsidR="00103E02" w:rsidRDefault="00103E02" w:rsidP="007A3A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15/12/2017</w:t>
            </w:r>
          </w:p>
        </w:tc>
        <w:tc>
          <w:tcPr>
            <w:tcW w:w="1616" w:type="dxa"/>
            <w:gridSpan w:val="2"/>
          </w:tcPr>
          <w:p w:rsidR="00103E02" w:rsidRDefault="00103E02" w:rsidP="007A3A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30/12/2017</w:t>
            </w:r>
          </w:p>
        </w:tc>
        <w:tc>
          <w:tcPr>
            <w:tcW w:w="1696" w:type="dxa"/>
            <w:gridSpan w:val="2"/>
          </w:tcPr>
          <w:p w:rsidR="00103E02" w:rsidRDefault="00103E02" w:rsidP="007A3A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31/02/2018</w:t>
            </w:r>
          </w:p>
        </w:tc>
        <w:tc>
          <w:tcPr>
            <w:tcW w:w="2178" w:type="dxa"/>
          </w:tcPr>
          <w:p w:rsidR="00103E02" w:rsidRDefault="00103E02" w:rsidP="007A3A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31/07/2018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4B1B5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43" w:type="dxa"/>
            <w:vAlign w:val="center"/>
          </w:tcPr>
          <w:p w:rsidR="00103E02" w:rsidRPr="000D6248" w:rsidRDefault="00103E02" w:rsidP="00EC4D06">
            <w:pPr>
              <w:rPr>
                <w:sz w:val="18"/>
                <w:szCs w:val="18"/>
              </w:rPr>
            </w:pPr>
            <w:r w:rsidRPr="00237A51">
              <w:rPr>
                <w:color w:val="000000"/>
                <w:sz w:val="18"/>
                <w:szCs w:val="18"/>
              </w:rPr>
              <w:t xml:space="preserve">Etude </w:t>
            </w:r>
            <w:r>
              <w:rPr>
                <w:color w:val="000000"/>
                <w:sz w:val="18"/>
                <w:szCs w:val="18"/>
              </w:rPr>
              <w:t xml:space="preserve">la pour </w:t>
            </w:r>
            <w:r w:rsidRPr="00F6390D">
              <w:rPr>
                <w:color w:val="000000"/>
                <w:sz w:val="18"/>
                <w:szCs w:val="18"/>
              </w:rPr>
              <w:t xml:space="preserve">définition et la mise en place d’un système d’approvisionnement jusqu’au dernier km pour l’ensemble des produits essentiels dans les deux régions de </w:t>
            </w:r>
            <w:proofErr w:type="spellStart"/>
            <w:r w:rsidRPr="00F6390D">
              <w:rPr>
                <w:color w:val="000000"/>
                <w:sz w:val="18"/>
                <w:szCs w:val="18"/>
              </w:rPr>
              <w:t>Hodh</w:t>
            </w:r>
            <w:proofErr w:type="spellEnd"/>
            <w:r w:rsidRPr="00F6390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6390D">
              <w:rPr>
                <w:color w:val="000000"/>
                <w:sz w:val="18"/>
                <w:szCs w:val="18"/>
              </w:rPr>
              <w:t>Charghi</w:t>
            </w:r>
            <w:proofErr w:type="spellEnd"/>
            <w:r w:rsidRPr="00F6390D">
              <w:rPr>
                <w:color w:val="000000"/>
                <w:sz w:val="18"/>
                <w:szCs w:val="18"/>
              </w:rPr>
              <w:t xml:space="preserve"> et Nouakchott Sud et la réalisation d’une étude d’opportunité de mise en place d’un second stock central au Sud Est</w:t>
            </w:r>
          </w:p>
        </w:tc>
        <w:tc>
          <w:tcPr>
            <w:tcW w:w="1759" w:type="dxa"/>
          </w:tcPr>
          <w:p w:rsidR="00103E02" w:rsidRPr="00A80D16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Prestations Intellectuelles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sz w:val="18"/>
                <w:szCs w:val="18"/>
              </w:rPr>
            </w:pPr>
            <w:r w:rsidRPr="00AC469E">
              <w:rPr>
                <w:bCs/>
                <w:sz w:val="22"/>
                <w:szCs w:val="22"/>
              </w:rPr>
              <w:t>QC</w:t>
            </w:r>
          </w:p>
        </w:tc>
        <w:tc>
          <w:tcPr>
            <w:tcW w:w="1729" w:type="dxa"/>
            <w:gridSpan w:val="3"/>
          </w:tcPr>
          <w:p w:rsidR="00103E02" w:rsidRDefault="00103E02" w:rsidP="007E30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13/12/2017</w:t>
            </w:r>
          </w:p>
        </w:tc>
        <w:tc>
          <w:tcPr>
            <w:tcW w:w="1616" w:type="dxa"/>
            <w:gridSpan w:val="2"/>
          </w:tcPr>
          <w:p w:rsidR="00103E02" w:rsidRDefault="00103E02" w:rsidP="007E301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30/12/2017</w:t>
            </w:r>
          </w:p>
        </w:tc>
        <w:tc>
          <w:tcPr>
            <w:tcW w:w="169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20/01/2018</w:t>
            </w:r>
          </w:p>
        </w:tc>
        <w:tc>
          <w:tcPr>
            <w:tcW w:w="2178" w:type="dxa"/>
          </w:tcPr>
          <w:p w:rsidR="00103E02" w:rsidRDefault="00103E02" w:rsidP="000847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20/04/2018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ED7A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43" w:type="dxa"/>
            <w:vAlign w:val="center"/>
          </w:tcPr>
          <w:p w:rsidR="00103E02" w:rsidRPr="000B4F9B" w:rsidRDefault="00103E02" w:rsidP="00EC4D06">
            <w:pPr>
              <w:rPr>
                <w:rFonts w:ascii="Garamond" w:hAnsi="Garamond"/>
                <w:b/>
                <w:bCs/>
                <w:color w:val="000000"/>
              </w:rPr>
            </w:pPr>
            <w:r w:rsidRPr="000D6248">
              <w:rPr>
                <w:sz w:val="18"/>
                <w:szCs w:val="18"/>
              </w:rPr>
              <w:t xml:space="preserve">Etude sur la mise en place </w:t>
            </w:r>
            <w:r w:rsidRPr="000D6248">
              <w:rPr>
                <w:sz w:val="18"/>
                <w:szCs w:val="18"/>
              </w:rPr>
              <w:lastRenderedPageBreak/>
              <w:t xml:space="preserve">d'un nouveau modèle efficient de SIGL </w:t>
            </w:r>
          </w:p>
        </w:tc>
        <w:tc>
          <w:tcPr>
            <w:tcW w:w="1759" w:type="dxa"/>
          </w:tcPr>
          <w:p w:rsidR="00103E02" w:rsidRPr="00A80D16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 xml:space="preserve">Prestations </w:t>
            </w:r>
            <w:r w:rsidRPr="009F4179">
              <w:rPr>
                <w:bCs/>
                <w:sz w:val="22"/>
                <w:szCs w:val="22"/>
              </w:rPr>
              <w:lastRenderedPageBreak/>
              <w:t>Intellectuelles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sz w:val="18"/>
                <w:szCs w:val="18"/>
              </w:rPr>
            </w:pPr>
            <w:r w:rsidRPr="00AC469E">
              <w:rPr>
                <w:bCs/>
                <w:sz w:val="22"/>
                <w:szCs w:val="22"/>
              </w:rPr>
              <w:lastRenderedPageBreak/>
              <w:t>QC</w:t>
            </w:r>
          </w:p>
        </w:tc>
        <w:tc>
          <w:tcPr>
            <w:tcW w:w="1729" w:type="dxa"/>
            <w:gridSpan w:val="3"/>
          </w:tcPr>
          <w:p w:rsidR="00103E02" w:rsidRDefault="00103E02" w:rsidP="007E30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13/12/2017</w:t>
            </w:r>
          </w:p>
        </w:tc>
        <w:tc>
          <w:tcPr>
            <w:tcW w:w="1616" w:type="dxa"/>
            <w:gridSpan w:val="2"/>
          </w:tcPr>
          <w:p w:rsidR="00103E02" w:rsidRDefault="00103E02" w:rsidP="007E301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27/12/2017</w:t>
            </w:r>
          </w:p>
        </w:tc>
        <w:tc>
          <w:tcPr>
            <w:tcW w:w="1696" w:type="dxa"/>
            <w:gridSpan w:val="2"/>
          </w:tcPr>
          <w:p w:rsidR="00103E02" w:rsidRDefault="00103E02" w:rsidP="007E301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20/01/2018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25/10/2017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EC4D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443" w:type="dxa"/>
            <w:vAlign w:val="center"/>
          </w:tcPr>
          <w:p w:rsidR="00103E02" w:rsidRDefault="00103E02" w:rsidP="00EC4D06">
            <w:pPr>
              <w:rPr>
                <w:sz w:val="18"/>
                <w:szCs w:val="18"/>
              </w:rPr>
            </w:pPr>
            <w:r w:rsidRPr="00237A51">
              <w:rPr>
                <w:color w:val="000000"/>
                <w:sz w:val="18"/>
                <w:szCs w:val="18"/>
              </w:rPr>
              <w:t>Etude sur la mise en place d'un plan global de gestion des RH au niveau de la CAMEC (3.2.1 à 3.2.4)</w:t>
            </w:r>
            <w:r>
              <w:rPr>
                <w:sz w:val="18"/>
                <w:szCs w:val="18"/>
              </w:rPr>
              <w:t>.</w:t>
            </w:r>
            <w:r w:rsidRPr="00E91562">
              <w:rPr>
                <w:sz w:val="18"/>
                <w:szCs w:val="18"/>
              </w:rPr>
              <w:t xml:space="preserve"> </w:t>
            </w:r>
          </w:p>
          <w:p w:rsidR="00103E02" w:rsidRPr="00FF14B0" w:rsidRDefault="00103E02" w:rsidP="00EC4D06">
            <w:pPr>
              <w:rPr>
                <w:rFonts w:ascii="Garamond" w:hAnsi="Garamond"/>
                <w:b/>
                <w:bCs/>
                <w:color w:val="000000"/>
              </w:rPr>
            </w:pPr>
          </w:p>
        </w:tc>
        <w:tc>
          <w:tcPr>
            <w:tcW w:w="1759" w:type="dxa"/>
          </w:tcPr>
          <w:p w:rsidR="00103E02" w:rsidRPr="00A80D16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Prestations Intellectuelles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sz w:val="18"/>
                <w:szCs w:val="18"/>
              </w:rPr>
            </w:pPr>
            <w:r w:rsidRPr="00AC469E">
              <w:rPr>
                <w:bCs/>
                <w:sz w:val="22"/>
                <w:szCs w:val="22"/>
              </w:rPr>
              <w:t>QC</w:t>
            </w:r>
          </w:p>
        </w:tc>
        <w:tc>
          <w:tcPr>
            <w:tcW w:w="1729" w:type="dxa"/>
            <w:gridSpan w:val="3"/>
          </w:tcPr>
          <w:p w:rsidR="00103E02" w:rsidRDefault="00103E02" w:rsidP="00084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30/11/2017</w:t>
            </w:r>
          </w:p>
        </w:tc>
        <w:tc>
          <w:tcPr>
            <w:tcW w:w="1616" w:type="dxa"/>
            <w:gridSpan w:val="2"/>
          </w:tcPr>
          <w:p w:rsidR="00103E02" w:rsidRDefault="00103E02" w:rsidP="000847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15/12/2017</w:t>
            </w:r>
          </w:p>
        </w:tc>
        <w:tc>
          <w:tcPr>
            <w:tcW w:w="1696" w:type="dxa"/>
            <w:gridSpan w:val="2"/>
          </w:tcPr>
          <w:p w:rsidR="00103E02" w:rsidRDefault="00103E02" w:rsidP="000847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15/01/2018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15/03/2018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ED7A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43" w:type="dxa"/>
            <w:vAlign w:val="center"/>
          </w:tcPr>
          <w:p w:rsidR="00103E02" w:rsidRPr="00FF14B0" w:rsidRDefault="00103E02" w:rsidP="00EC4D06">
            <w:pPr>
              <w:rPr>
                <w:rFonts w:ascii="Garamond" w:hAnsi="Garamond"/>
                <w:b/>
                <w:bCs/>
                <w:color w:val="000000"/>
              </w:rPr>
            </w:pPr>
            <w:r w:rsidRPr="00E91562">
              <w:rPr>
                <w:sz w:val="18"/>
                <w:szCs w:val="18"/>
              </w:rPr>
              <w:t xml:space="preserve">Etude d'impact des mécanismes de financement sur la demande des produits et l'offre des produits </w:t>
            </w:r>
          </w:p>
        </w:tc>
        <w:tc>
          <w:tcPr>
            <w:tcW w:w="1759" w:type="dxa"/>
          </w:tcPr>
          <w:p w:rsidR="00103E02" w:rsidRPr="00A80D16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Prestations Intellectuelles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sz w:val="18"/>
                <w:szCs w:val="18"/>
              </w:rPr>
            </w:pPr>
            <w:r w:rsidRPr="00AC469E">
              <w:rPr>
                <w:bCs/>
                <w:sz w:val="22"/>
                <w:szCs w:val="22"/>
              </w:rPr>
              <w:t>CI</w:t>
            </w:r>
          </w:p>
        </w:tc>
        <w:tc>
          <w:tcPr>
            <w:tcW w:w="1729" w:type="dxa"/>
            <w:gridSpan w:val="3"/>
          </w:tcPr>
          <w:p w:rsidR="00103E02" w:rsidRDefault="00103E02" w:rsidP="009F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14/12/2017</w:t>
            </w:r>
          </w:p>
        </w:tc>
        <w:tc>
          <w:tcPr>
            <w:tcW w:w="161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30/12/2017</w:t>
            </w:r>
          </w:p>
        </w:tc>
        <w:tc>
          <w:tcPr>
            <w:tcW w:w="1696" w:type="dxa"/>
            <w:gridSpan w:val="2"/>
          </w:tcPr>
          <w:p w:rsidR="00103E02" w:rsidRDefault="00103E02" w:rsidP="007A3A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25/01/2018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25/02/2018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573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3" w:type="dxa"/>
          </w:tcPr>
          <w:p w:rsidR="00103E02" w:rsidRPr="004C3B80" w:rsidRDefault="00103E02" w:rsidP="00EC4D06">
            <w:pPr>
              <w:rPr>
                <w:rFonts w:ascii="Garamond" w:hAnsi="Garamond"/>
                <w:b/>
                <w:bCs/>
                <w:color w:val="000000"/>
              </w:rPr>
            </w:pPr>
            <w:r w:rsidRPr="00B7317A">
              <w:rPr>
                <w:sz w:val="18"/>
                <w:szCs w:val="18"/>
              </w:rPr>
              <w:t>Acquisition des équipements des écoles et lieux de stage (kit élève</w:t>
            </w:r>
            <w:r>
              <w:rPr>
                <w:sz w:val="18"/>
                <w:szCs w:val="18"/>
              </w:rPr>
              <w:t>s</w:t>
            </w:r>
            <w:r w:rsidRPr="00B7317A">
              <w:rPr>
                <w:sz w:val="18"/>
                <w:szCs w:val="18"/>
              </w:rPr>
              <w:t>)</w:t>
            </w:r>
          </w:p>
        </w:tc>
        <w:tc>
          <w:tcPr>
            <w:tcW w:w="1759" w:type="dxa"/>
          </w:tcPr>
          <w:p w:rsidR="00103E02" w:rsidRDefault="00103E02" w:rsidP="009F4179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AC469E">
              <w:rPr>
                <w:bCs/>
                <w:sz w:val="22"/>
                <w:szCs w:val="22"/>
              </w:rPr>
              <w:t>AON</w:t>
            </w:r>
          </w:p>
        </w:tc>
        <w:tc>
          <w:tcPr>
            <w:tcW w:w="1729" w:type="dxa"/>
            <w:gridSpan w:val="3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20/05/2017</w:t>
            </w:r>
          </w:p>
        </w:tc>
        <w:tc>
          <w:tcPr>
            <w:tcW w:w="161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13/08/2017</w:t>
            </w:r>
          </w:p>
        </w:tc>
        <w:tc>
          <w:tcPr>
            <w:tcW w:w="169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30/08/2017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30/10/2017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1F20A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3" w:type="dxa"/>
          </w:tcPr>
          <w:p w:rsidR="00103E02" w:rsidRPr="000A3490" w:rsidRDefault="00103E02" w:rsidP="001F20A5">
            <w:pPr>
              <w:rPr>
                <w:sz w:val="18"/>
                <w:szCs w:val="18"/>
              </w:rPr>
            </w:pPr>
            <w:r w:rsidRPr="00B7317A">
              <w:rPr>
                <w:sz w:val="18"/>
                <w:szCs w:val="18"/>
              </w:rPr>
              <w:t>Acquisition et installation des équipements de la plate forme de formation à distance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59" w:type="dxa"/>
          </w:tcPr>
          <w:p w:rsidR="00103E02" w:rsidRDefault="00103E02" w:rsidP="009F4179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AC469E">
              <w:rPr>
                <w:bCs/>
                <w:sz w:val="22"/>
                <w:szCs w:val="22"/>
              </w:rPr>
              <w:t>AON</w:t>
            </w:r>
          </w:p>
        </w:tc>
        <w:tc>
          <w:tcPr>
            <w:tcW w:w="1729" w:type="dxa"/>
            <w:gridSpan w:val="3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04/06/2017</w:t>
            </w:r>
          </w:p>
        </w:tc>
        <w:tc>
          <w:tcPr>
            <w:tcW w:w="161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31/07/2017</w:t>
            </w:r>
          </w:p>
        </w:tc>
        <w:tc>
          <w:tcPr>
            <w:tcW w:w="169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10/08/2017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30/10/2017</w:t>
            </w:r>
          </w:p>
        </w:tc>
      </w:tr>
      <w:tr w:rsidR="00103E02" w:rsidTr="00103E02">
        <w:tc>
          <w:tcPr>
            <w:tcW w:w="645" w:type="dxa"/>
          </w:tcPr>
          <w:p w:rsidR="00103E02" w:rsidRDefault="00103E02" w:rsidP="00184AC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3" w:type="dxa"/>
          </w:tcPr>
          <w:p w:rsidR="00103E02" w:rsidRDefault="00103E02" w:rsidP="00EC4D06">
            <w:pPr>
              <w:rPr>
                <w:sz w:val="18"/>
                <w:szCs w:val="18"/>
              </w:rPr>
            </w:pPr>
            <w:r w:rsidRPr="00B7317A">
              <w:rPr>
                <w:sz w:val="18"/>
                <w:szCs w:val="18"/>
              </w:rPr>
              <w:t xml:space="preserve">Acquisition de moyens de transport  </w:t>
            </w:r>
          </w:p>
        </w:tc>
        <w:tc>
          <w:tcPr>
            <w:tcW w:w="1759" w:type="dxa"/>
          </w:tcPr>
          <w:p w:rsidR="00103E02" w:rsidRDefault="00103E02" w:rsidP="009F4179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IDA</w:t>
            </w:r>
          </w:p>
        </w:tc>
        <w:tc>
          <w:tcPr>
            <w:tcW w:w="1506" w:type="dxa"/>
            <w:gridSpan w:val="2"/>
          </w:tcPr>
          <w:p w:rsidR="00103E02" w:rsidRPr="009F4179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 w:rsidRPr="009F4179"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44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AON</w:t>
            </w:r>
          </w:p>
        </w:tc>
        <w:tc>
          <w:tcPr>
            <w:tcW w:w="1729" w:type="dxa"/>
            <w:gridSpan w:val="3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04/06/2017</w:t>
            </w:r>
          </w:p>
        </w:tc>
        <w:tc>
          <w:tcPr>
            <w:tcW w:w="161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31/07/2017</w:t>
            </w:r>
          </w:p>
        </w:tc>
        <w:tc>
          <w:tcPr>
            <w:tcW w:w="1696" w:type="dxa"/>
            <w:gridSpan w:val="2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10/08/2017</w:t>
            </w:r>
          </w:p>
        </w:tc>
        <w:tc>
          <w:tcPr>
            <w:tcW w:w="2178" w:type="dxa"/>
          </w:tcPr>
          <w:p w:rsidR="00103E02" w:rsidRDefault="00103E02" w:rsidP="009F41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30/10/2017</w:t>
            </w:r>
          </w:p>
        </w:tc>
      </w:tr>
    </w:tbl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103E02" w:rsidRDefault="00103E02" w:rsidP="00F270CA">
      <w:pPr>
        <w:spacing w:before="120"/>
        <w:rPr>
          <w:b/>
          <w:sz w:val="20"/>
          <w:szCs w:val="20"/>
        </w:rPr>
      </w:pPr>
    </w:p>
    <w:p w:rsidR="008F47D8" w:rsidRPr="00424988" w:rsidRDefault="00B02811" w:rsidP="00F270CA">
      <w:p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Légende :</w:t>
      </w:r>
      <w:r w:rsidR="008F47D8" w:rsidRPr="00B02811">
        <w:rPr>
          <w:b/>
          <w:sz w:val="20"/>
          <w:szCs w:val="20"/>
        </w:rPr>
        <w:t xml:space="preserve">                                                          </w:t>
      </w:r>
      <w:r w:rsidR="00F270CA">
        <w:rPr>
          <w:b/>
          <w:sz w:val="20"/>
          <w:szCs w:val="20"/>
        </w:rPr>
        <w:t xml:space="preserve">            </w:t>
      </w:r>
      <w:r w:rsidR="006F3FC3">
        <w:rPr>
          <w:b/>
          <w:sz w:val="20"/>
          <w:szCs w:val="20"/>
        </w:rPr>
        <w:t xml:space="preserve"> </w:t>
      </w:r>
      <w:r w:rsidR="008F47D8" w:rsidRPr="00B02811">
        <w:rPr>
          <w:b/>
        </w:rPr>
        <w:t xml:space="preserve">Le  Président de la Commission de </w:t>
      </w:r>
      <w:r>
        <w:rPr>
          <w:b/>
        </w:rPr>
        <w:t xml:space="preserve">  </w:t>
      </w:r>
      <w:r w:rsidRPr="00B02811">
        <w:rPr>
          <w:b/>
        </w:rPr>
        <w:t>Passation des</w:t>
      </w:r>
      <w:r w:rsidRPr="00B0281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B02811">
        <w:rPr>
          <w:b/>
        </w:rPr>
        <w:t xml:space="preserve">Marchés </w:t>
      </w:r>
      <w:r w:rsidR="00793A72">
        <w:rPr>
          <w:b/>
        </w:rPr>
        <w:t xml:space="preserve">Publics </w:t>
      </w:r>
      <w:r w:rsidRPr="00B02811">
        <w:rPr>
          <w:b/>
        </w:rPr>
        <w:t xml:space="preserve">des Secteurs </w:t>
      </w:r>
      <w:r w:rsidR="007443C7">
        <w:rPr>
          <w:b/>
        </w:rPr>
        <w:t>Sociaux</w:t>
      </w:r>
    </w:p>
    <w:p w:rsidR="00AC469E" w:rsidRDefault="00F270CA" w:rsidP="007443C7">
      <w:pPr>
        <w:rPr>
          <w:b/>
        </w:rPr>
      </w:pPr>
      <w:r>
        <w:rPr>
          <w:b/>
          <w:sz w:val="20"/>
          <w:szCs w:val="20"/>
        </w:rPr>
        <w:t>AON</w:t>
      </w:r>
      <w:r w:rsidR="008F47D8" w:rsidRPr="00B02811">
        <w:rPr>
          <w:b/>
          <w:sz w:val="20"/>
          <w:szCs w:val="20"/>
        </w:rPr>
        <w:t xml:space="preserve"> : </w:t>
      </w:r>
      <w:r>
        <w:rPr>
          <w:b/>
          <w:sz w:val="20"/>
          <w:szCs w:val="20"/>
        </w:rPr>
        <w:t>Appel d’Offres National</w:t>
      </w:r>
      <w:r w:rsidR="00FA39C0">
        <w:rPr>
          <w:b/>
        </w:rPr>
        <w:t xml:space="preserve">  </w:t>
      </w:r>
    </w:p>
    <w:p w:rsidR="007443C7" w:rsidRPr="00FA39C0" w:rsidRDefault="00AC469E" w:rsidP="007443C7">
      <w:pPr>
        <w:rPr>
          <w:b/>
          <w:sz w:val="20"/>
          <w:szCs w:val="20"/>
        </w:rPr>
      </w:pPr>
      <w:r>
        <w:rPr>
          <w:b/>
        </w:rPr>
        <w:t>ED : Entente Directe</w:t>
      </w:r>
      <w:r w:rsidR="00FA39C0">
        <w:rPr>
          <w:b/>
        </w:rPr>
        <w:t xml:space="preserve">                                                                         </w:t>
      </w:r>
      <w:r w:rsidR="007443C7">
        <w:rPr>
          <w:b/>
        </w:rPr>
        <w:t xml:space="preserve">Abderrahmane </w:t>
      </w:r>
      <w:proofErr w:type="spellStart"/>
      <w:r w:rsidR="007443C7">
        <w:rPr>
          <w:b/>
        </w:rPr>
        <w:t>Ould</w:t>
      </w:r>
      <w:proofErr w:type="spellEnd"/>
      <w:r w:rsidR="007443C7">
        <w:rPr>
          <w:b/>
        </w:rPr>
        <w:t xml:space="preserve"> </w:t>
      </w:r>
      <w:r w:rsidR="001D275A">
        <w:rPr>
          <w:b/>
        </w:rPr>
        <w:t xml:space="preserve">Mohamed </w:t>
      </w:r>
      <w:proofErr w:type="spellStart"/>
      <w:r w:rsidR="007443C7">
        <w:rPr>
          <w:b/>
        </w:rPr>
        <w:t>Sidena</w:t>
      </w:r>
      <w:proofErr w:type="spellEnd"/>
    </w:p>
    <w:p w:rsidR="007443C7" w:rsidRPr="007443C7" w:rsidRDefault="007443C7" w:rsidP="007443C7">
      <w:pPr>
        <w:rPr>
          <w:b/>
          <w:sz w:val="20"/>
          <w:szCs w:val="20"/>
        </w:rPr>
      </w:pPr>
      <w:r w:rsidRPr="007443C7">
        <w:rPr>
          <w:b/>
          <w:sz w:val="20"/>
          <w:szCs w:val="20"/>
        </w:rPr>
        <w:t>SBQC : Sélection Basée sur la Qualité et le Coût</w:t>
      </w:r>
    </w:p>
    <w:p w:rsidR="007443C7" w:rsidRDefault="007443C7" w:rsidP="007443C7">
      <w:pPr>
        <w:rPr>
          <w:b/>
          <w:sz w:val="20"/>
          <w:szCs w:val="20"/>
        </w:rPr>
      </w:pPr>
      <w:r w:rsidRPr="007443C7">
        <w:rPr>
          <w:b/>
          <w:sz w:val="20"/>
          <w:szCs w:val="20"/>
        </w:rPr>
        <w:t>CI : Consultant Individuel</w:t>
      </w:r>
    </w:p>
    <w:p w:rsidR="00184ACC" w:rsidRDefault="00184ACC" w:rsidP="007443C7">
      <w:pPr>
        <w:rPr>
          <w:b/>
          <w:sz w:val="20"/>
          <w:szCs w:val="20"/>
        </w:rPr>
      </w:pPr>
      <w:r>
        <w:rPr>
          <w:b/>
          <w:sz w:val="20"/>
          <w:szCs w:val="20"/>
        </w:rPr>
        <w:t>QC : Qualification de Consultants</w:t>
      </w:r>
    </w:p>
    <w:p w:rsidR="007443C7" w:rsidRDefault="007443C7" w:rsidP="007443C7">
      <w:r>
        <w:t xml:space="preserve">                     </w:t>
      </w:r>
    </w:p>
    <w:p w:rsidR="00A7301A" w:rsidRDefault="00A7301A" w:rsidP="007443C7"/>
    <w:sectPr w:rsidR="00A7301A" w:rsidSect="002374B1">
      <w:pgSz w:w="16838" w:h="11906" w:orient="landscape"/>
      <w:pgMar w:top="90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F1F" w:rsidRDefault="00BD4F1F" w:rsidP="00F91C05">
      <w:r>
        <w:separator/>
      </w:r>
    </w:p>
  </w:endnote>
  <w:endnote w:type="continuationSeparator" w:id="1">
    <w:p w:rsidR="00BD4F1F" w:rsidRDefault="00BD4F1F" w:rsidP="00F9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F1F" w:rsidRDefault="00BD4F1F" w:rsidP="00F91C05">
      <w:r>
        <w:separator/>
      </w:r>
    </w:p>
  </w:footnote>
  <w:footnote w:type="continuationSeparator" w:id="1">
    <w:p w:rsidR="00BD4F1F" w:rsidRDefault="00BD4F1F" w:rsidP="00F91C05">
      <w:r>
        <w:continuationSeparator/>
      </w:r>
    </w:p>
  </w:footnote>
  <w:footnote w:id="2">
    <w:p w:rsidR="00103E02" w:rsidRDefault="00103E02" w:rsidP="00F91C05">
      <w:pPr>
        <w:pStyle w:val="Notedebasdepage"/>
      </w:pPr>
      <w:r>
        <w:rPr>
          <w:rStyle w:val="Appelnotedebasdep"/>
        </w:rPr>
        <w:footnoteRef/>
      </w:r>
      <w:r>
        <w:t xml:space="preserve"> Travaux, fournitures, prestations intellectuelles, services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C05"/>
    <w:rsid w:val="00006412"/>
    <w:rsid w:val="00051F93"/>
    <w:rsid w:val="00057BF1"/>
    <w:rsid w:val="00074D6F"/>
    <w:rsid w:val="00084769"/>
    <w:rsid w:val="00091177"/>
    <w:rsid w:val="000D0B40"/>
    <w:rsid w:val="000F225A"/>
    <w:rsid w:val="00103E02"/>
    <w:rsid w:val="00142688"/>
    <w:rsid w:val="00184ACC"/>
    <w:rsid w:val="0018567C"/>
    <w:rsid w:val="001865D7"/>
    <w:rsid w:val="001A533B"/>
    <w:rsid w:val="001D275A"/>
    <w:rsid w:val="001E49A3"/>
    <w:rsid w:val="001F20A5"/>
    <w:rsid w:val="002374B1"/>
    <w:rsid w:val="00242896"/>
    <w:rsid w:val="002849DE"/>
    <w:rsid w:val="002D535D"/>
    <w:rsid w:val="002F3F47"/>
    <w:rsid w:val="00325ABB"/>
    <w:rsid w:val="003A28F7"/>
    <w:rsid w:val="00424988"/>
    <w:rsid w:val="00430097"/>
    <w:rsid w:val="00472E01"/>
    <w:rsid w:val="00480B03"/>
    <w:rsid w:val="004A35F4"/>
    <w:rsid w:val="004A77B3"/>
    <w:rsid w:val="004B1B58"/>
    <w:rsid w:val="004B214A"/>
    <w:rsid w:val="004D0BBD"/>
    <w:rsid w:val="00573CE1"/>
    <w:rsid w:val="00582F38"/>
    <w:rsid w:val="005839B9"/>
    <w:rsid w:val="005B7BC8"/>
    <w:rsid w:val="00666735"/>
    <w:rsid w:val="006F3FC3"/>
    <w:rsid w:val="00724B47"/>
    <w:rsid w:val="007443C7"/>
    <w:rsid w:val="007537AE"/>
    <w:rsid w:val="00761BB3"/>
    <w:rsid w:val="00790EA0"/>
    <w:rsid w:val="00793A72"/>
    <w:rsid w:val="007A3A02"/>
    <w:rsid w:val="007E3012"/>
    <w:rsid w:val="007F115A"/>
    <w:rsid w:val="0084451E"/>
    <w:rsid w:val="00852B39"/>
    <w:rsid w:val="00873811"/>
    <w:rsid w:val="008806BD"/>
    <w:rsid w:val="008B3AD4"/>
    <w:rsid w:val="008B50BA"/>
    <w:rsid w:val="008F47D8"/>
    <w:rsid w:val="009108A2"/>
    <w:rsid w:val="00910AA8"/>
    <w:rsid w:val="00935DD8"/>
    <w:rsid w:val="00947198"/>
    <w:rsid w:val="00962299"/>
    <w:rsid w:val="009703EB"/>
    <w:rsid w:val="009F4179"/>
    <w:rsid w:val="00A26365"/>
    <w:rsid w:val="00A7301A"/>
    <w:rsid w:val="00A865F4"/>
    <w:rsid w:val="00AC469E"/>
    <w:rsid w:val="00AF3E5B"/>
    <w:rsid w:val="00B02811"/>
    <w:rsid w:val="00B06DB6"/>
    <w:rsid w:val="00B13E1E"/>
    <w:rsid w:val="00B143A1"/>
    <w:rsid w:val="00B6428D"/>
    <w:rsid w:val="00B76DD1"/>
    <w:rsid w:val="00BA24EB"/>
    <w:rsid w:val="00BD4F1F"/>
    <w:rsid w:val="00C11221"/>
    <w:rsid w:val="00C26CE6"/>
    <w:rsid w:val="00C72967"/>
    <w:rsid w:val="00C80696"/>
    <w:rsid w:val="00CC498E"/>
    <w:rsid w:val="00CF589A"/>
    <w:rsid w:val="00D019E1"/>
    <w:rsid w:val="00D07FD1"/>
    <w:rsid w:val="00D11B73"/>
    <w:rsid w:val="00E61E5A"/>
    <w:rsid w:val="00E7596E"/>
    <w:rsid w:val="00E81297"/>
    <w:rsid w:val="00E8485F"/>
    <w:rsid w:val="00E85A7C"/>
    <w:rsid w:val="00E85B4E"/>
    <w:rsid w:val="00E92F9C"/>
    <w:rsid w:val="00EA39B0"/>
    <w:rsid w:val="00EC1804"/>
    <w:rsid w:val="00EC4D06"/>
    <w:rsid w:val="00ED7A9C"/>
    <w:rsid w:val="00EE0A68"/>
    <w:rsid w:val="00F16FCA"/>
    <w:rsid w:val="00F219DC"/>
    <w:rsid w:val="00F270CA"/>
    <w:rsid w:val="00F41AE7"/>
    <w:rsid w:val="00F861EC"/>
    <w:rsid w:val="00F91C05"/>
    <w:rsid w:val="00FA39C0"/>
    <w:rsid w:val="00FA51CF"/>
    <w:rsid w:val="00FB4543"/>
    <w:rsid w:val="00FC0300"/>
    <w:rsid w:val="00FF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C05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C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rsid w:val="00F91C0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1C0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rsid w:val="00F91C0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C17F-B762-4CB5-BD3D-3136FF55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 tolba</dc:creator>
  <cp:lastModifiedBy>admin</cp:lastModifiedBy>
  <cp:revision>2</cp:revision>
  <cp:lastPrinted>2017-03-16T08:51:00Z</cp:lastPrinted>
  <dcterms:created xsi:type="dcterms:W3CDTF">2017-12-05T11:42:00Z</dcterms:created>
  <dcterms:modified xsi:type="dcterms:W3CDTF">2017-12-05T11:42:00Z</dcterms:modified>
</cp:coreProperties>
</file>